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F4" w:rsidRDefault="00762BF4" w:rsidP="00762BF4">
      <w:pPr>
        <w:spacing w:before="120" w:after="240"/>
      </w:pPr>
      <w:r>
        <w:t>Name(s):</w:t>
      </w:r>
    </w:p>
    <w:p w:rsidR="00762BF4" w:rsidRDefault="00762BF4" w:rsidP="00762BF4">
      <w:pPr>
        <w:spacing w:before="120" w:after="240"/>
        <w:jc w:val="center"/>
        <w:rPr>
          <w:b/>
        </w:rPr>
      </w:pPr>
      <w:r w:rsidRPr="00762BF4">
        <w:rPr>
          <w:b/>
        </w:rPr>
        <w:t xml:space="preserve">Invalidity Claim Chart — U.S. Patent No. </w:t>
      </w:r>
      <w:r w:rsidRPr="00762BF4">
        <w:rPr>
          <w:b/>
          <w:bCs/>
        </w:rPr>
        <w:t>5,026,109</w:t>
      </w:r>
      <w:r w:rsidRPr="00762BF4">
        <w:rPr>
          <w:b/>
        </w:rPr>
        <w:t xml:space="preserve"> claim 1</w:t>
      </w:r>
    </w:p>
    <w:tbl>
      <w:tblPr>
        <w:tblStyle w:val="TableGrid"/>
        <w:tblW w:w="0" w:type="auto"/>
        <w:tblLook w:val="04A0" w:firstRow="1" w:lastRow="0" w:firstColumn="1" w:lastColumn="0" w:noHBand="0" w:noVBand="1"/>
      </w:tblPr>
      <w:tblGrid>
        <w:gridCol w:w="2448"/>
        <w:gridCol w:w="5310"/>
        <w:gridCol w:w="5418"/>
      </w:tblGrid>
      <w:tr w:rsidR="001B16B9" w:rsidTr="001B16B9">
        <w:trPr>
          <w:cantSplit/>
        </w:trPr>
        <w:tc>
          <w:tcPr>
            <w:tcW w:w="2448" w:type="dxa"/>
          </w:tcPr>
          <w:p w:rsidR="00762BF4" w:rsidRPr="00754460" w:rsidRDefault="00762BF4" w:rsidP="00762BF4">
            <w:pPr>
              <w:spacing w:before="120" w:after="120"/>
              <w:jc w:val="center"/>
              <w:rPr>
                <w:b/>
                <w:sz w:val="20"/>
                <w:szCs w:val="20"/>
              </w:rPr>
            </w:pPr>
            <w:r w:rsidRPr="00754460">
              <w:rPr>
                <w:b/>
                <w:sz w:val="20"/>
                <w:szCs w:val="20"/>
              </w:rPr>
              <w:t xml:space="preserve">U.S. Pat. No. </w:t>
            </w:r>
            <w:r w:rsidRPr="00754460">
              <w:rPr>
                <w:b/>
                <w:bCs/>
                <w:sz w:val="20"/>
                <w:szCs w:val="20"/>
              </w:rPr>
              <w:t>5</w:t>
            </w:r>
            <w:r w:rsidR="00754460" w:rsidRPr="00754460">
              <w:rPr>
                <w:b/>
                <w:bCs/>
                <w:sz w:val="20"/>
                <w:szCs w:val="20"/>
              </w:rPr>
              <w:t>,</w:t>
            </w:r>
            <w:r w:rsidRPr="00754460">
              <w:rPr>
                <w:b/>
                <w:bCs/>
                <w:sz w:val="20"/>
                <w:szCs w:val="20"/>
              </w:rPr>
              <w:t>026</w:t>
            </w:r>
            <w:r w:rsidR="00754460" w:rsidRPr="00754460">
              <w:rPr>
                <w:b/>
                <w:bCs/>
                <w:sz w:val="20"/>
                <w:szCs w:val="20"/>
              </w:rPr>
              <w:t>,</w:t>
            </w:r>
            <w:r w:rsidRPr="00754460">
              <w:rPr>
                <w:b/>
                <w:bCs/>
                <w:sz w:val="20"/>
                <w:szCs w:val="20"/>
              </w:rPr>
              <w:t>109</w:t>
            </w:r>
            <w:r w:rsidR="00E457E3">
              <w:rPr>
                <w:b/>
                <w:bCs/>
                <w:sz w:val="20"/>
                <w:szCs w:val="20"/>
              </w:rPr>
              <w:t xml:space="preserve"> (Merlot)</w:t>
            </w:r>
            <w:bookmarkStart w:id="0" w:name="_GoBack"/>
            <w:bookmarkEnd w:id="0"/>
          </w:p>
        </w:tc>
        <w:tc>
          <w:tcPr>
            <w:tcW w:w="5310" w:type="dxa"/>
          </w:tcPr>
          <w:p w:rsidR="00762BF4" w:rsidRPr="00754460" w:rsidRDefault="00762BF4" w:rsidP="00762BF4">
            <w:pPr>
              <w:spacing w:before="120" w:after="120"/>
              <w:jc w:val="center"/>
              <w:rPr>
                <w:b/>
                <w:sz w:val="20"/>
                <w:szCs w:val="20"/>
              </w:rPr>
            </w:pPr>
            <w:r w:rsidRPr="00754460">
              <w:rPr>
                <w:b/>
                <w:sz w:val="20"/>
                <w:szCs w:val="20"/>
              </w:rPr>
              <w:t>U.S. Patent No. 4,189,178</w:t>
            </w:r>
            <w:r w:rsidRPr="00754460">
              <w:rPr>
                <w:b/>
                <w:sz w:val="20"/>
                <w:szCs w:val="20"/>
              </w:rPr>
              <w:br/>
              <w:t>(Cramaro)</w:t>
            </w:r>
          </w:p>
        </w:tc>
        <w:tc>
          <w:tcPr>
            <w:tcW w:w="5418" w:type="dxa"/>
          </w:tcPr>
          <w:p w:rsidR="00762BF4" w:rsidRPr="00754460" w:rsidRDefault="00762BF4" w:rsidP="00762BF4">
            <w:pPr>
              <w:spacing w:before="120" w:after="120"/>
              <w:jc w:val="center"/>
              <w:rPr>
                <w:b/>
                <w:sz w:val="20"/>
                <w:szCs w:val="20"/>
              </w:rPr>
            </w:pPr>
            <w:r w:rsidRPr="00754460">
              <w:rPr>
                <w:b/>
                <w:sz w:val="20"/>
                <w:szCs w:val="20"/>
              </w:rPr>
              <w:t>U.S. Patent No. 3,415,260</w:t>
            </w:r>
            <w:r w:rsidRPr="00754460">
              <w:rPr>
                <w:b/>
                <w:sz w:val="20"/>
                <w:szCs w:val="20"/>
              </w:rPr>
              <w:br/>
              <w:t>(Hall)</w:t>
            </w:r>
          </w:p>
        </w:tc>
      </w:tr>
      <w:tr w:rsidR="001B16B9" w:rsidTr="001B16B9">
        <w:trPr>
          <w:cantSplit/>
        </w:trPr>
        <w:tc>
          <w:tcPr>
            <w:tcW w:w="2448" w:type="dxa"/>
          </w:tcPr>
          <w:p w:rsidR="00762BF4" w:rsidRPr="00754460" w:rsidRDefault="00762BF4" w:rsidP="00762BF4">
            <w:pPr>
              <w:spacing w:before="120" w:after="120"/>
              <w:rPr>
                <w:sz w:val="20"/>
                <w:szCs w:val="20"/>
              </w:rPr>
            </w:pPr>
            <w:r w:rsidRPr="00754460">
              <w:rPr>
                <w:sz w:val="20"/>
                <w:szCs w:val="20"/>
              </w:rPr>
              <w:t>1. A retractable segmented cover system used with a truck trailer comprising</w:t>
            </w:r>
          </w:p>
        </w:tc>
        <w:tc>
          <w:tcPr>
            <w:tcW w:w="5310" w:type="dxa"/>
          </w:tcPr>
          <w:p w:rsidR="00762BF4" w:rsidRPr="00754460" w:rsidRDefault="00762BF4" w:rsidP="00762BF4">
            <w:pPr>
              <w:spacing w:before="120" w:after="120"/>
              <w:rPr>
                <w:bCs/>
                <w:sz w:val="20"/>
                <w:szCs w:val="20"/>
              </w:rPr>
            </w:pPr>
            <w:r w:rsidRPr="00754460">
              <w:rPr>
                <w:sz w:val="20"/>
                <w:szCs w:val="20"/>
              </w:rPr>
              <w:t>“</w:t>
            </w:r>
            <w:r w:rsidRPr="00754460">
              <w:rPr>
                <w:bCs/>
                <w:sz w:val="20"/>
                <w:szCs w:val="20"/>
              </w:rPr>
              <w:t>Tarpaulin cover system</w:t>
            </w:r>
            <w:r w:rsidR="00754460" w:rsidRPr="00754460">
              <w:rPr>
                <w:bCs/>
                <w:sz w:val="20"/>
                <w:szCs w:val="20"/>
              </w:rPr>
              <w:t>.</w:t>
            </w:r>
            <w:r w:rsidRPr="00754460">
              <w:rPr>
                <w:bCs/>
                <w:sz w:val="20"/>
                <w:szCs w:val="20"/>
              </w:rPr>
              <w:t>”</w:t>
            </w:r>
            <w:r w:rsidR="00754460" w:rsidRPr="00754460">
              <w:rPr>
                <w:bCs/>
                <w:sz w:val="20"/>
                <w:szCs w:val="20"/>
              </w:rPr>
              <w:t xml:space="preserve"> Title.</w:t>
            </w:r>
          </w:p>
          <w:p w:rsidR="00762BF4" w:rsidRPr="00754460" w:rsidRDefault="00762BF4" w:rsidP="00762BF4">
            <w:pPr>
              <w:spacing w:before="120" w:after="120"/>
              <w:rPr>
                <w:bCs/>
                <w:sz w:val="20"/>
                <w:szCs w:val="20"/>
              </w:rPr>
            </w:pPr>
            <w:r w:rsidRPr="00754460">
              <w:rPr>
                <w:bCs/>
                <w:sz w:val="20"/>
                <w:szCs w:val="20"/>
              </w:rPr>
              <w:t>“A tarpaulin cover system for use in trucks eliminates the need for usual side tracks for guiding the tarpaulin supporting rods.”</w:t>
            </w:r>
            <w:r w:rsidR="00754460" w:rsidRPr="00754460">
              <w:rPr>
                <w:bCs/>
                <w:sz w:val="20"/>
                <w:szCs w:val="20"/>
              </w:rPr>
              <w:t xml:space="preserve"> Abstract.</w:t>
            </w:r>
          </w:p>
          <w:p w:rsidR="00762BF4" w:rsidRPr="00754460" w:rsidRDefault="00762BF4" w:rsidP="00762BF4">
            <w:pPr>
              <w:spacing w:before="120" w:after="120"/>
              <w:rPr>
                <w:sz w:val="20"/>
                <w:szCs w:val="20"/>
              </w:rPr>
            </w:pPr>
            <w:r w:rsidRPr="00754460">
              <w:rPr>
                <w:sz w:val="20"/>
                <w:szCs w:val="20"/>
              </w:rPr>
              <w:t>“This invention relates to a new tarpaulin cover system for use in a truck box. More particularly, the present invention relates to a tarpauline cover system suitable for vehicles such as dump trucks or the like, frequently used in hauling sand, gravel, rocks etc.</w:t>
            </w:r>
            <w:r w:rsidR="00754460" w:rsidRPr="00754460">
              <w:rPr>
                <w:sz w:val="20"/>
                <w:szCs w:val="20"/>
              </w:rPr>
              <w:t>” Col. 1, lines</w:t>
            </w:r>
            <w:r w:rsidRPr="00754460">
              <w:rPr>
                <w:sz w:val="20"/>
                <w:szCs w:val="20"/>
              </w:rPr>
              <w:t>. 6–10.</w:t>
            </w:r>
          </w:p>
        </w:tc>
        <w:tc>
          <w:tcPr>
            <w:tcW w:w="5418" w:type="dxa"/>
          </w:tcPr>
          <w:p w:rsidR="00762BF4" w:rsidRPr="00754460" w:rsidRDefault="00762BF4" w:rsidP="00762BF4">
            <w:pPr>
              <w:spacing w:before="120" w:after="120"/>
              <w:rPr>
                <w:sz w:val="20"/>
                <w:szCs w:val="20"/>
              </w:rPr>
            </w:pPr>
          </w:p>
        </w:tc>
      </w:tr>
      <w:tr w:rsidR="001B16B9" w:rsidTr="001B16B9">
        <w:trPr>
          <w:cantSplit/>
        </w:trPr>
        <w:tc>
          <w:tcPr>
            <w:tcW w:w="2448" w:type="dxa"/>
          </w:tcPr>
          <w:p w:rsidR="00762BF4" w:rsidRPr="00754460" w:rsidRDefault="00762BF4" w:rsidP="00762BF4">
            <w:pPr>
              <w:spacing w:before="120" w:after="120"/>
              <w:rPr>
                <w:b/>
                <w:sz w:val="20"/>
                <w:szCs w:val="20"/>
              </w:rPr>
            </w:pPr>
            <w:r w:rsidRPr="00754460">
              <w:rPr>
                <w:sz w:val="20"/>
                <w:szCs w:val="20"/>
              </w:rPr>
              <w:t>a plurality of flexible cover sections with</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r w:rsidR="001B16B9" w:rsidTr="001B16B9">
        <w:trPr>
          <w:cantSplit/>
          <w:trHeight w:val="5300"/>
        </w:trPr>
        <w:tc>
          <w:tcPr>
            <w:tcW w:w="2448" w:type="dxa"/>
          </w:tcPr>
          <w:p w:rsidR="00762BF4" w:rsidRPr="00754460" w:rsidRDefault="00762BF4" w:rsidP="00762BF4">
            <w:pPr>
              <w:spacing w:before="120" w:after="120"/>
              <w:rPr>
                <w:b/>
                <w:sz w:val="20"/>
                <w:szCs w:val="20"/>
              </w:rPr>
            </w:pPr>
            <w:r w:rsidRPr="00754460">
              <w:rPr>
                <w:sz w:val="20"/>
                <w:szCs w:val="20"/>
              </w:rPr>
              <w:lastRenderedPageBreak/>
              <w:t>a plurality of substantially parallel supporting bows spaced therebetween and</w:t>
            </w:r>
          </w:p>
        </w:tc>
        <w:tc>
          <w:tcPr>
            <w:tcW w:w="5310" w:type="dxa"/>
          </w:tcPr>
          <w:p w:rsidR="00762BF4" w:rsidRPr="00754460" w:rsidRDefault="00762BF4" w:rsidP="00762BF4">
            <w:pPr>
              <w:spacing w:before="120" w:after="120"/>
              <w:rPr>
                <w:sz w:val="20"/>
                <w:szCs w:val="20"/>
              </w:rPr>
            </w:pPr>
          </w:p>
        </w:tc>
        <w:tc>
          <w:tcPr>
            <w:tcW w:w="5418" w:type="dxa"/>
          </w:tcPr>
          <w:p w:rsidR="00754460" w:rsidRPr="00754460" w:rsidRDefault="00754460" w:rsidP="00762BF4">
            <w:pPr>
              <w:spacing w:before="120" w:after="120"/>
              <w:rPr>
                <w:sz w:val="20"/>
                <w:szCs w:val="20"/>
              </w:rPr>
            </w:pPr>
            <w:r w:rsidRPr="00754460">
              <w:rPr>
                <w:sz w:val="20"/>
                <w:szCs w:val="20"/>
              </w:rPr>
              <w:t>“A plurality of frames or arch members are independently movable between two fixed posts or support members and each is maintained in aligned parallelism by four cables, each cable being disposed in a Z-pulley arrangement.” Abstract, col. 1, lines 10–14.</w:t>
            </w:r>
          </w:p>
          <w:p w:rsidR="00762BF4" w:rsidRPr="00754460" w:rsidRDefault="00754460" w:rsidP="00762BF4">
            <w:pPr>
              <w:spacing w:before="120" w:after="120"/>
              <w:rPr>
                <w:sz w:val="20"/>
                <w:szCs w:val="20"/>
              </w:rPr>
            </w:pPr>
            <w:r w:rsidRPr="00754460">
              <w:rPr>
                <w:sz w:val="20"/>
                <w:szCs w:val="20"/>
              </w:rPr>
              <w:t>Figure 1:</w:t>
            </w:r>
          </w:p>
          <w:p w:rsidR="00754460" w:rsidRPr="00754460" w:rsidRDefault="00754460" w:rsidP="00762BF4">
            <w:pPr>
              <w:spacing w:before="120" w:after="120"/>
              <w:rPr>
                <w:sz w:val="20"/>
                <w:szCs w:val="20"/>
              </w:rPr>
            </w:pPr>
            <w:r w:rsidRPr="00754460">
              <w:rPr>
                <w:noProof/>
                <w:sz w:val="20"/>
                <w:szCs w:val="20"/>
              </w:rPr>
              <w:drawing>
                <wp:inline distT="0" distB="0" distL="0" distR="0" wp14:anchorId="53A1FDAA" wp14:editId="088D50AE">
                  <wp:extent cx="2093879" cy="13404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410" cy="1340746"/>
                          </a:xfrm>
                          <a:prstGeom prst="rect">
                            <a:avLst/>
                          </a:prstGeom>
                          <a:noFill/>
                          <a:ln>
                            <a:noFill/>
                          </a:ln>
                        </pic:spPr>
                      </pic:pic>
                    </a:graphicData>
                  </a:graphic>
                </wp:inline>
              </w:drawing>
            </w:r>
          </w:p>
          <w:p w:rsidR="00754460" w:rsidRPr="00754460" w:rsidRDefault="00754460" w:rsidP="00762BF4">
            <w:pPr>
              <w:spacing w:before="120" w:after="120"/>
              <w:rPr>
                <w:sz w:val="20"/>
                <w:szCs w:val="20"/>
              </w:rPr>
            </w:pPr>
            <w:r w:rsidRPr="00754460">
              <w:rPr>
                <w:sz w:val="20"/>
                <w:szCs w:val="20"/>
              </w:rPr>
              <w:t>“Referring now to FIG. 1, it is to be noted that the structure embodies a plurality of frames, as for example, a first or forward frame and a first rightwardly adjacent frame 61. Other adjacent frames 62, 63, 64 and 65 are spaced rearwardly toward a rear frame 66, which frame may be attached to a wall indicated in phantom outline.” Col. 4, lines. 8–14.</w:t>
            </w:r>
          </w:p>
        </w:tc>
      </w:tr>
      <w:tr w:rsidR="001B16B9" w:rsidTr="001B16B9">
        <w:trPr>
          <w:cantSplit/>
        </w:trPr>
        <w:tc>
          <w:tcPr>
            <w:tcW w:w="2448" w:type="dxa"/>
          </w:tcPr>
          <w:p w:rsidR="00762BF4" w:rsidRPr="00754460" w:rsidRDefault="00762BF4" w:rsidP="00762BF4">
            <w:pPr>
              <w:spacing w:before="120" w:after="120"/>
              <w:rPr>
                <w:b/>
                <w:sz w:val="20"/>
                <w:szCs w:val="20"/>
              </w:rPr>
            </w:pPr>
            <w:r w:rsidRPr="00754460">
              <w:rPr>
                <w:sz w:val="20"/>
                <w:szCs w:val="20"/>
              </w:rPr>
              <w:t>a drive assembly,</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r w:rsidR="001B16B9" w:rsidTr="001B16B9">
        <w:trPr>
          <w:cantSplit/>
        </w:trPr>
        <w:tc>
          <w:tcPr>
            <w:tcW w:w="2448" w:type="dxa"/>
          </w:tcPr>
          <w:p w:rsidR="00762BF4" w:rsidRPr="00754460" w:rsidRDefault="00762BF4" w:rsidP="00762BF4">
            <w:pPr>
              <w:spacing w:before="120" w:after="120"/>
              <w:rPr>
                <w:b/>
                <w:sz w:val="20"/>
                <w:szCs w:val="20"/>
              </w:rPr>
            </w:pPr>
            <w:r w:rsidRPr="00754460">
              <w:rPr>
                <w:sz w:val="20"/>
                <w:szCs w:val="20"/>
              </w:rPr>
              <w:t xml:space="preserve">wherein each cover section is detachably connected between substantially parallel supporting bows, </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r w:rsidR="001B16B9" w:rsidTr="001B16B9">
        <w:trPr>
          <w:cantSplit/>
        </w:trPr>
        <w:tc>
          <w:tcPr>
            <w:tcW w:w="2448" w:type="dxa"/>
          </w:tcPr>
          <w:p w:rsidR="00762BF4" w:rsidRPr="00754460" w:rsidRDefault="00762BF4" w:rsidP="00762BF4">
            <w:pPr>
              <w:spacing w:before="120" w:after="120"/>
              <w:rPr>
                <w:sz w:val="20"/>
                <w:szCs w:val="20"/>
              </w:rPr>
            </w:pPr>
            <w:r w:rsidRPr="00754460">
              <w:rPr>
                <w:sz w:val="20"/>
                <w:szCs w:val="20"/>
              </w:rPr>
              <w:t>the bows are slideably supported on the truck trailer and</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r w:rsidR="001B16B9" w:rsidTr="001B16B9">
        <w:trPr>
          <w:cantSplit/>
        </w:trPr>
        <w:tc>
          <w:tcPr>
            <w:tcW w:w="2448" w:type="dxa"/>
          </w:tcPr>
          <w:p w:rsidR="00762BF4" w:rsidRPr="00754460" w:rsidRDefault="00762BF4" w:rsidP="00762BF4">
            <w:pPr>
              <w:spacing w:before="120" w:after="120"/>
              <w:rPr>
                <w:sz w:val="20"/>
                <w:szCs w:val="20"/>
              </w:rPr>
            </w:pPr>
            <w:r w:rsidRPr="00754460">
              <w:rPr>
                <w:sz w:val="20"/>
                <w:szCs w:val="20"/>
              </w:rPr>
              <w:t>at least one bow is fixedly connected to the drive assembly such that the cover system can be extended or retracted by the drive assembly and</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r w:rsidR="001B16B9" w:rsidTr="001B16B9">
        <w:trPr>
          <w:cantSplit/>
        </w:trPr>
        <w:tc>
          <w:tcPr>
            <w:tcW w:w="2448" w:type="dxa"/>
          </w:tcPr>
          <w:p w:rsidR="00762BF4" w:rsidRPr="00754460" w:rsidRDefault="00762BF4" w:rsidP="00762BF4">
            <w:pPr>
              <w:spacing w:before="120" w:after="120"/>
              <w:rPr>
                <w:sz w:val="20"/>
                <w:szCs w:val="20"/>
              </w:rPr>
            </w:pPr>
            <w:r w:rsidRPr="00754460">
              <w:rPr>
                <w:sz w:val="20"/>
                <w:szCs w:val="20"/>
              </w:rPr>
              <w:t>wherein a cover section can be removed from the cover system independent of the other cover sections.</w:t>
            </w:r>
          </w:p>
        </w:tc>
        <w:tc>
          <w:tcPr>
            <w:tcW w:w="5310" w:type="dxa"/>
          </w:tcPr>
          <w:p w:rsidR="00762BF4" w:rsidRPr="00754460" w:rsidRDefault="00762BF4" w:rsidP="00762BF4">
            <w:pPr>
              <w:spacing w:before="120" w:after="120"/>
              <w:rPr>
                <w:sz w:val="20"/>
                <w:szCs w:val="20"/>
              </w:rPr>
            </w:pPr>
          </w:p>
        </w:tc>
        <w:tc>
          <w:tcPr>
            <w:tcW w:w="5418" w:type="dxa"/>
          </w:tcPr>
          <w:p w:rsidR="00762BF4" w:rsidRPr="00754460" w:rsidRDefault="00762BF4" w:rsidP="00762BF4">
            <w:pPr>
              <w:spacing w:before="120" w:after="120"/>
              <w:rPr>
                <w:sz w:val="20"/>
                <w:szCs w:val="20"/>
              </w:rPr>
            </w:pPr>
          </w:p>
        </w:tc>
      </w:tr>
    </w:tbl>
    <w:p w:rsidR="00762BF4" w:rsidRPr="00762BF4" w:rsidRDefault="00762BF4" w:rsidP="00762BF4">
      <w:pPr>
        <w:spacing w:before="120" w:after="240"/>
        <w:rPr>
          <w:b/>
        </w:rPr>
      </w:pPr>
    </w:p>
    <w:sectPr w:rsidR="00762BF4" w:rsidRPr="00762BF4" w:rsidSect="00762BF4">
      <w:footerReference w:type="default" r:id="rId8"/>
      <w:pgSz w:w="15840" w:h="12240" w:orient="landscape"/>
      <w:pgMar w:top="144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E3" w:rsidRDefault="00E457E3" w:rsidP="00762BF4">
      <w:r>
        <w:separator/>
      </w:r>
    </w:p>
  </w:endnote>
  <w:endnote w:type="continuationSeparator" w:id="0">
    <w:p w:rsidR="00E457E3" w:rsidRDefault="00E457E3" w:rsidP="0076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E3" w:rsidRDefault="00E457E3" w:rsidP="00762BF4">
    <w:pPr>
      <w:pStyle w:val="Footer"/>
      <w:jc w:val="center"/>
    </w:pPr>
    <w:r>
      <w:fldChar w:fldCharType="begin"/>
    </w:r>
    <w:r>
      <w:instrText xml:space="preserve"> PAGE  \* MERGEFORMAT </w:instrText>
    </w:r>
    <w:r>
      <w:fldChar w:fldCharType="separate"/>
    </w:r>
    <w:r w:rsidR="004049A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E3" w:rsidRDefault="00E457E3" w:rsidP="00762BF4">
      <w:r>
        <w:separator/>
      </w:r>
    </w:p>
  </w:footnote>
  <w:footnote w:type="continuationSeparator" w:id="0">
    <w:p w:rsidR="00E457E3" w:rsidRDefault="00E457E3" w:rsidP="00762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F4"/>
    <w:rsid w:val="0012387B"/>
    <w:rsid w:val="001B16B9"/>
    <w:rsid w:val="004049A2"/>
    <w:rsid w:val="00754460"/>
    <w:rsid w:val="00762BF4"/>
    <w:rsid w:val="00D60487"/>
    <w:rsid w:val="00E4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90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BF4"/>
    <w:pPr>
      <w:tabs>
        <w:tab w:val="center" w:pos="4320"/>
        <w:tab w:val="right" w:pos="8640"/>
      </w:tabs>
    </w:pPr>
  </w:style>
  <w:style w:type="character" w:customStyle="1" w:styleId="HeaderChar">
    <w:name w:val="Header Char"/>
    <w:basedOn w:val="DefaultParagraphFont"/>
    <w:link w:val="Header"/>
    <w:uiPriority w:val="99"/>
    <w:rsid w:val="00762BF4"/>
  </w:style>
  <w:style w:type="paragraph" w:styleId="Footer">
    <w:name w:val="footer"/>
    <w:basedOn w:val="Normal"/>
    <w:link w:val="FooterChar"/>
    <w:uiPriority w:val="99"/>
    <w:unhideWhenUsed/>
    <w:rsid w:val="00762BF4"/>
    <w:pPr>
      <w:tabs>
        <w:tab w:val="center" w:pos="4320"/>
        <w:tab w:val="right" w:pos="8640"/>
      </w:tabs>
    </w:pPr>
  </w:style>
  <w:style w:type="character" w:customStyle="1" w:styleId="FooterChar">
    <w:name w:val="Footer Char"/>
    <w:basedOn w:val="DefaultParagraphFont"/>
    <w:link w:val="Footer"/>
    <w:uiPriority w:val="99"/>
    <w:rsid w:val="00762BF4"/>
  </w:style>
  <w:style w:type="paragraph" w:styleId="BalloonText">
    <w:name w:val="Balloon Text"/>
    <w:basedOn w:val="Normal"/>
    <w:link w:val="BalloonTextChar"/>
    <w:uiPriority w:val="99"/>
    <w:semiHidden/>
    <w:unhideWhenUsed/>
    <w:rsid w:val="00754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4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BF4"/>
    <w:pPr>
      <w:tabs>
        <w:tab w:val="center" w:pos="4320"/>
        <w:tab w:val="right" w:pos="8640"/>
      </w:tabs>
    </w:pPr>
  </w:style>
  <w:style w:type="character" w:customStyle="1" w:styleId="HeaderChar">
    <w:name w:val="Header Char"/>
    <w:basedOn w:val="DefaultParagraphFont"/>
    <w:link w:val="Header"/>
    <w:uiPriority w:val="99"/>
    <w:rsid w:val="00762BF4"/>
  </w:style>
  <w:style w:type="paragraph" w:styleId="Footer">
    <w:name w:val="footer"/>
    <w:basedOn w:val="Normal"/>
    <w:link w:val="FooterChar"/>
    <w:uiPriority w:val="99"/>
    <w:unhideWhenUsed/>
    <w:rsid w:val="00762BF4"/>
    <w:pPr>
      <w:tabs>
        <w:tab w:val="center" w:pos="4320"/>
        <w:tab w:val="right" w:pos="8640"/>
      </w:tabs>
    </w:pPr>
  </w:style>
  <w:style w:type="character" w:customStyle="1" w:styleId="FooterChar">
    <w:name w:val="Footer Char"/>
    <w:basedOn w:val="DefaultParagraphFont"/>
    <w:link w:val="Footer"/>
    <w:uiPriority w:val="99"/>
    <w:rsid w:val="00762BF4"/>
  </w:style>
  <w:style w:type="paragraph" w:styleId="BalloonText">
    <w:name w:val="Balloon Text"/>
    <w:basedOn w:val="Normal"/>
    <w:link w:val="BalloonTextChar"/>
    <w:uiPriority w:val="99"/>
    <w:semiHidden/>
    <w:unhideWhenUsed/>
    <w:rsid w:val="00754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1171">
      <w:bodyDiv w:val="1"/>
      <w:marLeft w:val="0"/>
      <w:marRight w:val="0"/>
      <w:marTop w:val="0"/>
      <w:marBottom w:val="0"/>
      <w:divBdr>
        <w:top w:val="none" w:sz="0" w:space="0" w:color="auto"/>
        <w:left w:val="none" w:sz="0" w:space="0" w:color="auto"/>
        <w:bottom w:val="none" w:sz="0" w:space="0" w:color="auto"/>
        <w:right w:val="none" w:sz="0" w:space="0" w:color="auto"/>
      </w:divBdr>
    </w:div>
    <w:div w:id="237445036">
      <w:bodyDiv w:val="1"/>
      <w:marLeft w:val="0"/>
      <w:marRight w:val="0"/>
      <w:marTop w:val="0"/>
      <w:marBottom w:val="0"/>
      <w:divBdr>
        <w:top w:val="none" w:sz="0" w:space="0" w:color="auto"/>
        <w:left w:val="none" w:sz="0" w:space="0" w:color="auto"/>
        <w:bottom w:val="none" w:sz="0" w:space="0" w:color="auto"/>
        <w:right w:val="none" w:sz="0" w:space="0" w:color="auto"/>
      </w:divBdr>
    </w:div>
    <w:div w:id="270236611">
      <w:bodyDiv w:val="1"/>
      <w:marLeft w:val="0"/>
      <w:marRight w:val="0"/>
      <w:marTop w:val="0"/>
      <w:marBottom w:val="0"/>
      <w:divBdr>
        <w:top w:val="none" w:sz="0" w:space="0" w:color="auto"/>
        <w:left w:val="none" w:sz="0" w:space="0" w:color="auto"/>
        <w:bottom w:val="none" w:sz="0" w:space="0" w:color="auto"/>
        <w:right w:val="none" w:sz="0" w:space="0" w:color="auto"/>
      </w:divBdr>
    </w:div>
    <w:div w:id="313412088">
      <w:bodyDiv w:val="1"/>
      <w:marLeft w:val="0"/>
      <w:marRight w:val="0"/>
      <w:marTop w:val="0"/>
      <w:marBottom w:val="0"/>
      <w:divBdr>
        <w:top w:val="none" w:sz="0" w:space="0" w:color="auto"/>
        <w:left w:val="none" w:sz="0" w:space="0" w:color="auto"/>
        <w:bottom w:val="none" w:sz="0" w:space="0" w:color="auto"/>
        <w:right w:val="none" w:sz="0" w:space="0" w:color="auto"/>
      </w:divBdr>
    </w:div>
    <w:div w:id="419328937">
      <w:bodyDiv w:val="1"/>
      <w:marLeft w:val="0"/>
      <w:marRight w:val="0"/>
      <w:marTop w:val="0"/>
      <w:marBottom w:val="0"/>
      <w:divBdr>
        <w:top w:val="none" w:sz="0" w:space="0" w:color="auto"/>
        <w:left w:val="none" w:sz="0" w:space="0" w:color="auto"/>
        <w:bottom w:val="none" w:sz="0" w:space="0" w:color="auto"/>
        <w:right w:val="none" w:sz="0" w:space="0" w:color="auto"/>
      </w:divBdr>
    </w:div>
    <w:div w:id="508956550">
      <w:bodyDiv w:val="1"/>
      <w:marLeft w:val="0"/>
      <w:marRight w:val="0"/>
      <w:marTop w:val="0"/>
      <w:marBottom w:val="0"/>
      <w:divBdr>
        <w:top w:val="none" w:sz="0" w:space="0" w:color="auto"/>
        <w:left w:val="none" w:sz="0" w:space="0" w:color="auto"/>
        <w:bottom w:val="none" w:sz="0" w:space="0" w:color="auto"/>
        <w:right w:val="none" w:sz="0" w:space="0" w:color="auto"/>
      </w:divBdr>
    </w:div>
    <w:div w:id="557135976">
      <w:bodyDiv w:val="1"/>
      <w:marLeft w:val="0"/>
      <w:marRight w:val="0"/>
      <w:marTop w:val="0"/>
      <w:marBottom w:val="0"/>
      <w:divBdr>
        <w:top w:val="none" w:sz="0" w:space="0" w:color="auto"/>
        <w:left w:val="none" w:sz="0" w:space="0" w:color="auto"/>
        <w:bottom w:val="none" w:sz="0" w:space="0" w:color="auto"/>
        <w:right w:val="none" w:sz="0" w:space="0" w:color="auto"/>
      </w:divBdr>
    </w:div>
    <w:div w:id="625430207">
      <w:bodyDiv w:val="1"/>
      <w:marLeft w:val="0"/>
      <w:marRight w:val="0"/>
      <w:marTop w:val="0"/>
      <w:marBottom w:val="0"/>
      <w:divBdr>
        <w:top w:val="none" w:sz="0" w:space="0" w:color="auto"/>
        <w:left w:val="none" w:sz="0" w:space="0" w:color="auto"/>
        <w:bottom w:val="none" w:sz="0" w:space="0" w:color="auto"/>
        <w:right w:val="none" w:sz="0" w:space="0" w:color="auto"/>
      </w:divBdr>
    </w:div>
    <w:div w:id="655114604">
      <w:bodyDiv w:val="1"/>
      <w:marLeft w:val="0"/>
      <w:marRight w:val="0"/>
      <w:marTop w:val="0"/>
      <w:marBottom w:val="0"/>
      <w:divBdr>
        <w:top w:val="none" w:sz="0" w:space="0" w:color="auto"/>
        <w:left w:val="none" w:sz="0" w:space="0" w:color="auto"/>
        <w:bottom w:val="none" w:sz="0" w:space="0" w:color="auto"/>
        <w:right w:val="none" w:sz="0" w:space="0" w:color="auto"/>
      </w:divBdr>
      <w:divsChild>
        <w:div w:id="428433687">
          <w:marLeft w:val="0"/>
          <w:marRight w:val="0"/>
          <w:marTop w:val="0"/>
          <w:marBottom w:val="0"/>
          <w:divBdr>
            <w:top w:val="none" w:sz="0" w:space="0" w:color="auto"/>
            <w:left w:val="none" w:sz="0" w:space="0" w:color="auto"/>
            <w:bottom w:val="none" w:sz="0" w:space="0" w:color="auto"/>
            <w:right w:val="none" w:sz="0" w:space="0" w:color="auto"/>
          </w:divBdr>
          <w:divsChild>
            <w:div w:id="999311556">
              <w:marLeft w:val="0"/>
              <w:marRight w:val="0"/>
              <w:marTop w:val="0"/>
              <w:marBottom w:val="0"/>
              <w:divBdr>
                <w:top w:val="none" w:sz="0" w:space="0" w:color="auto"/>
                <w:left w:val="none" w:sz="0" w:space="0" w:color="auto"/>
                <w:bottom w:val="none" w:sz="0" w:space="0" w:color="auto"/>
                <w:right w:val="none" w:sz="0" w:space="0" w:color="auto"/>
              </w:divBdr>
              <w:divsChild>
                <w:div w:id="1643538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577348">
          <w:marLeft w:val="960"/>
          <w:marRight w:val="0"/>
          <w:marTop w:val="0"/>
          <w:marBottom w:val="0"/>
          <w:divBdr>
            <w:top w:val="none" w:sz="0" w:space="0" w:color="auto"/>
            <w:left w:val="none" w:sz="0" w:space="0" w:color="auto"/>
            <w:bottom w:val="none" w:sz="0" w:space="0" w:color="auto"/>
            <w:right w:val="none" w:sz="0" w:space="0" w:color="auto"/>
          </w:divBdr>
          <w:divsChild>
            <w:div w:id="16039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2772">
      <w:bodyDiv w:val="1"/>
      <w:marLeft w:val="0"/>
      <w:marRight w:val="0"/>
      <w:marTop w:val="0"/>
      <w:marBottom w:val="0"/>
      <w:divBdr>
        <w:top w:val="none" w:sz="0" w:space="0" w:color="auto"/>
        <w:left w:val="none" w:sz="0" w:space="0" w:color="auto"/>
        <w:bottom w:val="none" w:sz="0" w:space="0" w:color="auto"/>
        <w:right w:val="none" w:sz="0" w:space="0" w:color="auto"/>
      </w:divBdr>
    </w:div>
    <w:div w:id="1436167952">
      <w:bodyDiv w:val="1"/>
      <w:marLeft w:val="0"/>
      <w:marRight w:val="0"/>
      <w:marTop w:val="0"/>
      <w:marBottom w:val="0"/>
      <w:divBdr>
        <w:top w:val="none" w:sz="0" w:space="0" w:color="auto"/>
        <w:left w:val="none" w:sz="0" w:space="0" w:color="auto"/>
        <w:bottom w:val="none" w:sz="0" w:space="0" w:color="auto"/>
        <w:right w:val="none" w:sz="0" w:space="0" w:color="auto"/>
      </w:divBdr>
    </w:div>
    <w:div w:id="1520119335">
      <w:bodyDiv w:val="1"/>
      <w:marLeft w:val="0"/>
      <w:marRight w:val="0"/>
      <w:marTop w:val="0"/>
      <w:marBottom w:val="0"/>
      <w:divBdr>
        <w:top w:val="none" w:sz="0" w:space="0" w:color="auto"/>
        <w:left w:val="none" w:sz="0" w:space="0" w:color="auto"/>
        <w:bottom w:val="none" w:sz="0" w:space="0" w:color="auto"/>
        <w:right w:val="none" w:sz="0" w:space="0" w:color="auto"/>
      </w:divBdr>
    </w:div>
    <w:div w:id="1735860052">
      <w:bodyDiv w:val="1"/>
      <w:marLeft w:val="0"/>
      <w:marRight w:val="0"/>
      <w:marTop w:val="0"/>
      <w:marBottom w:val="0"/>
      <w:divBdr>
        <w:top w:val="none" w:sz="0" w:space="0" w:color="auto"/>
        <w:left w:val="none" w:sz="0" w:space="0" w:color="auto"/>
        <w:bottom w:val="none" w:sz="0" w:space="0" w:color="auto"/>
        <w:right w:val="none" w:sz="0" w:space="0" w:color="auto"/>
      </w:divBdr>
    </w:div>
    <w:div w:id="1930694382">
      <w:bodyDiv w:val="1"/>
      <w:marLeft w:val="0"/>
      <w:marRight w:val="0"/>
      <w:marTop w:val="0"/>
      <w:marBottom w:val="0"/>
      <w:divBdr>
        <w:top w:val="none" w:sz="0" w:space="0" w:color="auto"/>
        <w:left w:val="none" w:sz="0" w:space="0" w:color="auto"/>
        <w:bottom w:val="none" w:sz="0" w:space="0" w:color="auto"/>
        <w:right w:val="none" w:sz="0" w:space="0" w:color="auto"/>
      </w:divBdr>
    </w:div>
    <w:div w:id="2093505256">
      <w:bodyDiv w:val="1"/>
      <w:marLeft w:val="0"/>
      <w:marRight w:val="0"/>
      <w:marTop w:val="0"/>
      <w:marBottom w:val="0"/>
      <w:divBdr>
        <w:top w:val="none" w:sz="0" w:space="0" w:color="auto"/>
        <w:left w:val="none" w:sz="0" w:space="0" w:color="auto"/>
        <w:bottom w:val="none" w:sz="0" w:space="0" w:color="auto"/>
        <w:right w:val="none" w:sz="0" w:space="0" w:color="auto"/>
      </w:divBdr>
    </w:div>
    <w:div w:id="2128114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301</Words>
  <Characters>1594</Characters>
  <Application>Microsoft Macintosh Word</Application>
  <DocSecurity>0</DocSecurity>
  <Lines>25</Lines>
  <Paragraphs>4</Paragraphs>
  <ScaleCrop>false</ScaleCrop>
  <Company>University of Chicago Law School</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Ford</dc:creator>
  <cp:keywords/>
  <dc:description/>
  <cp:lastModifiedBy>Roger Ford</cp:lastModifiedBy>
  <cp:revision>1</cp:revision>
  <dcterms:created xsi:type="dcterms:W3CDTF">2015-03-18T04:22:00Z</dcterms:created>
  <dcterms:modified xsi:type="dcterms:W3CDTF">2015-03-18T18:43:00Z</dcterms:modified>
</cp:coreProperties>
</file>